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67" w:rsidRDefault="006B5E67" w:rsidP="00F678C5">
      <w:pPr>
        <w:pStyle w:val="ListParagraph"/>
        <w:spacing w:after="360" w:line="240" w:lineRule="auto"/>
        <w:ind w:left="0"/>
        <w:contextualSpacing w:val="0"/>
        <w:jc w:val="center"/>
        <w:rPr>
          <w:b/>
          <w:sz w:val="36"/>
        </w:rPr>
      </w:pPr>
    </w:p>
    <w:p w:rsidR="00F678C5" w:rsidRPr="00F678C5" w:rsidRDefault="007B7B26" w:rsidP="006B5E67">
      <w:pPr>
        <w:pStyle w:val="ListParagraph"/>
        <w:spacing w:after="360" w:line="240" w:lineRule="auto"/>
        <w:ind w:left="0"/>
        <w:contextualSpacing w:val="0"/>
        <w:rPr>
          <w:b/>
          <w:sz w:val="36"/>
        </w:rPr>
      </w:pPr>
      <w:r>
        <w:rPr>
          <w:b/>
          <w:sz w:val="36"/>
        </w:rPr>
        <w:t>Library Science Collection</w:t>
      </w:r>
      <w:r w:rsidR="00F678C5" w:rsidRPr="00F678C5">
        <w:rPr>
          <w:b/>
          <w:sz w:val="36"/>
        </w:rPr>
        <w:t xml:space="preserve"> Resources</w:t>
      </w:r>
      <w:r>
        <w:rPr>
          <w:b/>
          <w:sz w:val="36"/>
        </w:rPr>
        <w:t xml:space="preserve"> for Tech Training</w:t>
      </w:r>
    </w:p>
    <w:p w:rsidR="00170C8E" w:rsidRPr="00173DC5" w:rsidRDefault="00170C8E" w:rsidP="00F678C5">
      <w:pPr>
        <w:pStyle w:val="ListParagraph"/>
        <w:spacing w:after="120" w:line="240" w:lineRule="auto"/>
        <w:ind w:left="0"/>
        <w:contextualSpacing w:val="0"/>
        <w:rPr>
          <w:sz w:val="28"/>
        </w:rPr>
      </w:pPr>
      <w:r w:rsidRPr="00173DC5">
        <w:rPr>
          <w:sz w:val="28"/>
        </w:rPr>
        <w:t xml:space="preserve">The Texas State Library &amp; Archives </w:t>
      </w:r>
      <w:r w:rsidR="00EC51DF" w:rsidRPr="00173DC5">
        <w:rPr>
          <w:sz w:val="28"/>
        </w:rPr>
        <w:t>C</w:t>
      </w:r>
      <w:r w:rsidRPr="00173DC5">
        <w:rPr>
          <w:sz w:val="28"/>
        </w:rPr>
        <w:t xml:space="preserve">ommission maintains a working Library Science Collection of professional books, DVDs, and journals serving Texas librarians in all kinds of libraries. Most loans travel by mail, and the only cost to this service is the responsibility of return postage at the library mail rate. </w:t>
      </w:r>
    </w:p>
    <w:p w:rsidR="00170C8E" w:rsidRPr="00173DC5" w:rsidRDefault="00EC51DF" w:rsidP="00F678C5">
      <w:pPr>
        <w:pStyle w:val="ListParagraph"/>
        <w:spacing w:after="120" w:line="240" w:lineRule="auto"/>
        <w:ind w:left="0"/>
        <w:contextualSpacing w:val="0"/>
        <w:rPr>
          <w:sz w:val="28"/>
        </w:rPr>
      </w:pPr>
      <w:r w:rsidRPr="00173DC5">
        <w:rPr>
          <w:sz w:val="28"/>
        </w:rPr>
        <w:t xml:space="preserve">The following titles provide information related to offering technology training for patrons and implementing technology solutions at your library.  </w:t>
      </w:r>
      <w:r w:rsidR="00170C8E" w:rsidRPr="00173DC5">
        <w:rPr>
          <w:sz w:val="28"/>
        </w:rPr>
        <w:t xml:space="preserve">Contact </w:t>
      </w:r>
      <w:r w:rsidR="00F678C5" w:rsidRPr="00173DC5">
        <w:rPr>
          <w:sz w:val="28"/>
        </w:rPr>
        <w:t>lsc@tsl.state.tx.us</w:t>
      </w:r>
      <w:r w:rsidR="00170C8E" w:rsidRPr="00173DC5">
        <w:rPr>
          <w:sz w:val="28"/>
        </w:rPr>
        <w:t xml:space="preserve"> to borrow these titles or inquire about other available resources for any topic related to library science, including free CE options.</w:t>
      </w:r>
    </w:p>
    <w:p w:rsidR="00F678C5" w:rsidRPr="00173DC5" w:rsidRDefault="00F678C5" w:rsidP="00F678C5">
      <w:pPr>
        <w:pStyle w:val="ListParagraph"/>
        <w:spacing w:after="120" w:line="240" w:lineRule="auto"/>
        <w:ind w:left="734"/>
        <w:contextualSpacing w:val="0"/>
        <w:sectPr w:rsidR="00F678C5" w:rsidRPr="00173DC5" w:rsidSect="00AC2D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p w:rsidR="00F678C5" w:rsidRDefault="00F678C5" w:rsidP="00F678C5">
      <w:pPr>
        <w:pStyle w:val="ListParagraph"/>
        <w:spacing w:after="120" w:line="240" w:lineRule="auto"/>
        <w:ind w:left="0"/>
        <w:contextualSpacing w:val="0"/>
        <w:rPr>
          <w:sz w:val="24"/>
        </w:rPr>
      </w:pPr>
      <w:r>
        <w:rPr>
          <w:rFonts w:ascii="Verdana" w:hAnsi="Verdana"/>
          <w:noProof/>
          <w:color w:val="003399"/>
          <w:sz w:val="20"/>
          <w:szCs w:val="20"/>
        </w:rPr>
        <w:drawing>
          <wp:inline distT="0" distB="0" distL="0" distR="0">
            <wp:extent cx="1095375" cy="1095375"/>
            <wp:effectExtent l="19050" t="0" r="9525" b="0"/>
            <wp:docPr id="2" name="prodImage" descr="The Accidental Technology Trainer: A Guide for Librari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Accidental Technology Trainer: A Guide for Libraries">
                      <a:hlinkClick r:id="rId14"/>
                    </pic:cNvPr>
                    <pic:cNvPicPr>
                      <a:picLocks noChangeAspect="1" noChangeArrowheads="1"/>
                    </pic:cNvPicPr>
                  </pic:nvPicPr>
                  <pic:blipFill>
                    <a:blip r:embed="rId15" cstate="print">
                      <a:grayscl/>
                    </a:blip>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173DC5" w:rsidRDefault="00173DC5" w:rsidP="00F678C5">
      <w:pPr>
        <w:pStyle w:val="ListParagraph"/>
        <w:spacing w:after="120" w:line="240" w:lineRule="auto"/>
        <w:ind w:left="0"/>
        <w:contextualSpacing w:val="0"/>
        <w:rPr>
          <w:sz w:val="24"/>
        </w:rPr>
      </w:pPr>
    </w:p>
    <w:p w:rsidR="00F678C5" w:rsidRDefault="00F678C5" w:rsidP="00F678C5">
      <w:pPr>
        <w:pStyle w:val="ListParagraph"/>
        <w:spacing w:after="120" w:line="240" w:lineRule="auto"/>
        <w:ind w:left="0"/>
        <w:contextualSpacing w:val="0"/>
        <w:rPr>
          <w:sz w:val="24"/>
        </w:rPr>
      </w:pPr>
      <w:r>
        <w:rPr>
          <w:rFonts w:ascii="Verdana" w:hAnsi="Verdana"/>
          <w:noProof/>
          <w:color w:val="003399"/>
          <w:sz w:val="20"/>
          <w:szCs w:val="20"/>
        </w:rPr>
        <w:drawing>
          <wp:inline distT="0" distB="0" distL="0" distR="0">
            <wp:extent cx="1143000" cy="1143000"/>
            <wp:effectExtent l="19050" t="0" r="0" b="0"/>
            <wp:docPr id="7" name="prodImage" descr="Without a Net: Librarians Bridging the Digital Div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Without a Net: Librarians Bridging the Digital Divide">
                      <a:hlinkClick r:id="rId16"/>
                    </pic:cNvPr>
                    <pic:cNvPicPr>
                      <a:picLocks noChangeAspect="1" noChangeArrowheads="1"/>
                    </pic:cNvPicPr>
                  </pic:nvPicPr>
                  <pic:blipFill>
                    <a:blip r:embed="rId17" cstate="print">
                      <a:grayscl/>
                    </a:blip>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73DC5" w:rsidRDefault="00173DC5" w:rsidP="00F678C5">
      <w:pPr>
        <w:pStyle w:val="ListParagraph"/>
        <w:spacing w:after="120" w:line="240" w:lineRule="auto"/>
        <w:ind w:left="0"/>
        <w:contextualSpacing w:val="0"/>
        <w:rPr>
          <w:sz w:val="24"/>
        </w:rPr>
      </w:pPr>
    </w:p>
    <w:p w:rsidR="00F678C5" w:rsidRDefault="00173DC5" w:rsidP="00F678C5">
      <w:pPr>
        <w:pStyle w:val="ListParagraph"/>
        <w:spacing w:after="120" w:line="240" w:lineRule="auto"/>
        <w:ind w:left="0"/>
        <w:contextualSpacing w:val="0"/>
        <w:rPr>
          <w:sz w:val="24"/>
        </w:rPr>
      </w:pPr>
      <w:r>
        <w:rPr>
          <w:rFonts w:ascii="Verdana" w:hAnsi="Verdana"/>
          <w:noProof/>
          <w:color w:val="003399"/>
          <w:sz w:val="20"/>
          <w:szCs w:val="20"/>
        </w:rPr>
        <w:drawing>
          <wp:inline distT="0" distB="0" distL="0" distR="0">
            <wp:extent cx="1143000" cy="1143000"/>
            <wp:effectExtent l="19050" t="0" r="0" b="0"/>
            <wp:docPr id="10" name="prodImage" descr="Implementing Technology Solutions in Libraries: Techniques, Tools, and Tips From the Trench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Implementing Technology Solutions in Libraries: Techniques, Tools, and Tips From the Trenches">
                      <a:hlinkClick r:id="rId18"/>
                    </pic:cNvPr>
                    <pic:cNvPicPr>
                      <a:picLocks noChangeAspect="1" noChangeArrowheads="1"/>
                    </pic:cNvPicPr>
                  </pic:nvPicPr>
                  <pic:blipFill>
                    <a:blip r:embed="rId19" cstate="print">
                      <a:grayscl/>
                    </a:blip>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73DC5" w:rsidRDefault="00173DC5" w:rsidP="00F678C5">
      <w:pPr>
        <w:pStyle w:val="ListParagraph"/>
        <w:spacing w:after="120" w:line="240" w:lineRule="auto"/>
        <w:ind w:left="0"/>
        <w:contextualSpacing w:val="0"/>
        <w:rPr>
          <w:sz w:val="24"/>
        </w:rPr>
      </w:pPr>
    </w:p>
    <w:p w:rsidR="00F678C5" w:rsidRDefault="00173DC5" w:rsidP="00F678C5">
      <w:pPr>
        <w:pStyle w:val="ListParagraph"/>
        <w:spacing w:after="120" w:line="240" w:lineRule="auto"/>
        <w:ind w:left="0"/>
        <w:contextualSpacing w:val="0"/>
        <w:rPr>
          <w:sz w:val="24"/>
        </w:rPr>
      </w:pPr>
      <w:r>
        <w:rPr>
          <w:rFonts w:ascii="Verdana" w:hAnsi="Verdana"/>
          <w:noProof/>
          <w:color w:val="003399"/>
          <w:sz w:val="20"/>
          <w:szCs w:val="20"/>
        </w:rPr>
        <w:drawing>
          <wp:inline distT="0" distB="0" distL="0" distR="0">
            <wp:extent cx="1143000" cy="1143000"/>
            <wp:effectExtent l="19050" t="0" r="0" b="0"/>
            <wp:docPr id="13" name="prodImage" descr="Active Learning Techniques for Librarians: Practical Examples (Chandos Information Professional Series)">
              <a:hlinkClick xmlns:a="http://schemas.openxmlformats.org/drawingml/2006/main" r:id="rId20"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Active Learning Techniques for Librarians: Practical Examples (Chandos Information Professional Series)">
                      <a:hlinkClick r:id="rId20" tgtFrame="AmazonHelp"/>
                    </pic:cNvPr>
                    <pic:cNvPicPr>
                      <a:picLocks noChangeAspect="1" noChangeArrowheads="1"/>
                    </pic:cNvPicPr>
                  </pic:nvPicPr>
                  <pic:blipFill>
                    <a:blip r:embed="rId21" cstate="print">
                      <a:grayscl/>
                    </a:blip>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F678C5" w:rsidRDefault="00F678C5" w:rsidP="00F678C5">
      <w:pPr>
        <w:pStyle w:val="ListParagraph"/>
        <w:spacing w:after="120" w:line="240" w:lineRule="auto"/>
        <w:ind w:left="0"/>
        <w:contextualSpacing w:val="0"/>
        <w:rPr>
          <w:sz w:val="24"/>
        </w:rPr>
      </w:pP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The Accidental Technology Trainer (2007) Author: Stephanie Gerding</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Facilitation Basics (2004) Authors: Donald V. McCain and Deborah D. Tobey</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Libraries Connect Communities (2009) Editor: </w:t>
      </w:r>
      <w:proofErr w:type="spellStart"/>
      <w:r w:rsidRPr="00173DC5">
        <w:rPr>
          <w:sz w:val="24"/>
          <w:szCs w:val="26"/>
        </w:rPr>
        <w:t>Larra</w:t>
      </w:r>
      <w:proofErr w:type="spellEnd"/>
      <w:r w:rsidRPr="00173DC5">
        <w:rPr>
          <w:sz w:val="24"/>
          <w:szCs w:val="26"/>
        </w:rPr>
        <w:t xml:space="preserve"> Clark</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Digital Inclusion, Teens, and Your Library (2005) Author: Lesley S. J. Farmer</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Bridging the Digital Divide in the Spanish Speaking Community, (2004) Library Video Network</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Without A Net, Librarians Bridging the Digital Divide (2011) Author: </w:t>
      </w:r>
      <w:proofErr w:type="spellStart"/>
      <w:r w:rsidRPr="00173DC5">
        <w:rPr>
          <w:sz w:val="24"/>
          <w:szCs w:val="26"/>
        </w:rPr>
        <w:t>Jessamyn</w:t>
      </w:r>
      <w:proofErr w:type="spellEnd"/>
      <w:r w:rsidRPr="00173DC5">
        <w:rPr>
          <w:sz w:val="24"/>
          <w:szCs w:val="26"/>
        </w:rPr>
        <w:t xml:space="preserve"> C. West</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Web 2.0 for Librarians and Information Professionals (2008) Author: </w:t>
      </w:r>
      <w:proofErr w:type="spellStart"/>
      <w:r w:rsidRPr="00173DC5">
        <w:rPr>
          <w:sz w:val="24"/>
          <w:szCs w:val="26"/>
        </w:rPr>
        <w:t>Ellyssa</w:t>
      </w:r>
      <w:proofErr w:type="spellEnd"/>
      <w:r w:rsidRPr="00173DC5">
        <w:rPr>
          <w:sz w:val="24"/>
          <w:szCs w:val="26"/>
        </w:rPr>
        <w:t xml:space="preserve"> </w:t>
      </w:r>
      <w:proofErr w:type="spellStart"/>
      <w:r w:rsidRPr="00173DC5">
        <w:rPr>
          <w:sz w:val="24"/>
          <w:szCs w:val="26"/>
        </w:rPr>
        <w:t>Kroski</w:t>
      </w:r>
      <w:proofErr w:type="spellEnd"/>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Implementing Technology Solutions in Libraries (2011) Author: Karen C. Knox</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Technology Made Simple, </w:t>
      </w:r>
      <w:proofErr w:type="gramStart"/>
      <w:r w:rsidRPr="00173DC5">
        <w:rPr>
          <w:sz w:val="24"/>
          <w:szCs w:val="26"/>
        </w:rPr>
        <w:t>An</w:t>
      </w:r>
      <w:proofErr w:type="gramEnd"/>
      <w:r w:rsidRPr="00173DC5">
        <w:rPr>
          <w:sz w:val="24"/>
          <w:szCs w:val="26"/>
        </w:rPr>
        <w:t xml:space="preserve"> Improvement Guide for Small and Medium Libraries (2007) Authors: Kimberly Bolan and Robert </w:t>
      </w:r>
      <w:proofErr w:type="spellStart"/>
      <w:r w:rsidRPr="00173DC5">
        <w:rPr>
          <w:sz w:val="24"/>
          <w:szCs w:val="26"/>
        </w:rPr>
        <w:t>Cullin</w:t>
      </w:r>
      <w:proofErr w:type="spellEnd"/>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The Complete Library Technology Planner (2010) Authors: John M. Cohn and Ann L. Kelsey</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lastRenderedPageBreak/>
        <w:t>Active Learning Techniques for Librarians (2010) Authors: Andrew Walsh and Padma Inala</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101 Ways to Make Training Active (2005) </w:t>
      </w:r>
      <w:proofErr w:type="spellStart"/>
      <w:r w:rsidRPr="00173DC5">
        <w:rPr>
          <w:sz w:val="24"/>
          <w:szCs w:val="26"/>
        </w:rPr>
        <w:t>AuthorMel</w:t>
      </w:r>
      <w:proofErr w:type="spellEnd"/>
      <w:r w:rsidRPr="00173DC5">
        <w:rPr>
          <w:sz w:val="24"/>
          <w:szCs w:val="26"/>
        </w:rPr>
        <w:t xml:space="preserve"> Silberman</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Competency Based Training Basics (2010) Authors: William J. Rothwell and James M. Graber</w:t>
      </w:r>
    </w:p>
    <w:p w:rsidR="00170C8E" w:rsidRPr="00173DC5" w:rsidRDefault="00170C8E" w:rsidP="00173DC5">
      <w:pPr>
        <w:pStyle w:val="ListParagraph"/>
        <w:spacing w:after="160" w:line="240" w:lineRule="auto"/>
        <w:ind w:left="0"/>
        <w:contextualSpacing w:val="0"/>
        <w:rPr>
          <w:sz w:val="24"/>
          <w:szCs w:val="26"/>
        </w:rPr>
      </w:pPr>
      <w:r w:rsidRPr="00173DC5">
        <w:rPr>
          <w:sz w:val="24"/>
          <w:szCs w:val="26"/>
        </w:rPr>
        <w:t xml:space="preserve">ASTD’s Ultimate Train the Trainer, A Complete Guide to Training Success (2009) Author: Elaine </w:t>
      </w:r>
      <w:proofErr w:type="spellStart"/>
      <w:r w:rsidRPr="00173DC5">
        <w:rPr>
          <w:sz w:val="24"/>
          <w:szCs w:val="26"/>
        </w:rPr>
        <w:t>Biech</w:t>
      </w:r>
      <w:proofErr w:type="spellEnd"/>
    </w:p>
    <w:p w:rsidR="00DA1BEB" w:rsidRPr="00173DC5" w:rsidRDefault="00170C8E" w:rsidP="00173DC5">
      <w:pPr>
        <w:pStyle w:val="ListParagraph"/>
        <w:spacing w:after="160" w:line="240" w:lineRule="auto"/>
        <w:ind w:left="0"/>
        <w:contextualSpacing w:val="0"/>
        <w:rPr>
          <w:sz w:val="24"/>
          <w:szCs w:val="26"/>
        </w:rPr>
      </w:pPr>
      <w:proofErr w:type="spellStart"/>
      <w:r w:rsidRPr="00173DC5">
        <w:rPr>
          <w:sz w:val="24"/>
          <w:szCs w:val="26"/>
        </w:rPr>
        <w:t>Slide</w:t>
      </w:r>
      <w:proofErr w:type="gramStart"/>
      <w:r w:rsidRPr="00173DC5">
        <w:rPr>
          <w:sz w:val="24"/>
          <w:szCs w:val="26"/>
        </w:rPr>
        <w:t>:ology</w:t>
      </w:r>
      <w:proofErr w:type="spellEnd"/>
      <w:proofErr w:type="gramEnd"/>
      <w:r w:rsidRPr="00173DC5">
        <w:rPr>
          <w:sz w:val="24"/>
          <w:szCs w:val="26"/>
        </w:rPr>
        <w:t>, The Art and Science of Creating Great Presentations (</w:t>
      </w:r>
      <w:r w:rsidR="00F678C5" w:rsidRPr="00173DC5">
        <w:rPr>
          <w:sz w:val="24"/>
          <w:szCs w:val="26"/>
        </w:rPr>
        <w:t>2008</w:t>
      </w:r>
      <w:r w:rsidRPr="00173DC5">
        <w:rPr>
          <w:sz w:val="24"/>
          <w:szCs w:val="26"/>
        </w:rPr>
        <w:t>) Author Nancy Duarte</w:t>
      </w:r>
    </w:p>
    <w:sectPr w:rsidR="00DA1BEB" w:rsidRPr="00173DC5" w:rsidSect="00F678C5">
      <w:type w:val="continuous"/>
      <w:pgSz w:w="12240" w:h="15840"/>
      <w:pgMar w:top="1440" w:right="720" w:bottom="1440" w:left="1440" w:header="720" w:footer="720" w:gutter="0"/>
      <w:cols w:num="2" w:space="720" w:equalWidth="0">
        <w:col w:w="1800" w:space="270"/>
        <w:col w:w="801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27" w:rsidRDefault="00E56427" w:rsidP="00D87FB9">
      <w:pPr>
        <w:spacing w:after="0" w:line="240" w:lineRule="auto"/>
      </w:pPr>
      <w:r>
        <w:separator/>
      </w:r>
    </w:p>
  </w:endnote>
  <w:endnote w:type="continuationSeparator" w:id="0">
    <w:p w:rsidR="00E56427" w:rsidRDefault="00E56427" w:rsidP="00D8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1" w:rsidRDefault="00684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1" w:rsidRDefault="00684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1" w:rsidRDefault="0068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27" w:rsidRDefault="00E56427" w:rsidP="00D87FB9">
      <w:pPr>
        <w:spacing w:after="0" w:line="240" w:lineRule="auto"/>
      </w:pPr>
      <w:r>
        <w:separator/>
      </w:r>
    </w:p>
  </w:footnote>
  <w:footnote w:type="continuationSeparator" w:id="0">
    <w:p w:rsidR="00E56427" w:rsidRDefault="00E56427" w:rsidP="00D8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1" w:rsidRDefault="00684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C5" w:rsidRPr="006B5E67" w:rsidRDefault="00FC5BCC" w:rsidP="006B5E67">
    <w:pPr>
      <w:pStyle w:val="Header"/>
    </w:pPr>
    <w:r>
      <w:rPr>
        <w:noProof/>
      </w:rPr>
      <w:drawing>
        <wp:anchor distT="0" distB="0" distL="114300" distR="114300" simplePos="0" relativeHeight="251657728" behindDoc="0" locked="0" layoutInCell="1" allowOverlap="1" wp14:anchorId="6695C4FB" wp14:editId="1AB2C39A">
          <wp:simplePos x="0" y="0"/>
          <wp:positionH relativeFrom="column">
            <wp:posOffset>4114800</wp:posOffset>
          </wp:positionH>
          <wp:positionV relativeFrom="paragraph">
            <wp:posOffset>-251460</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Start w:id="0" w:name="_GoBack"/>
    <w:r>
      <w:rPr>
        <w:noProof/>
      </w:rPr>
      <w:drawing>
        <wp:anchor distT="0" distB="0" distL="114300" distR="114300" simplePos="0" relativeHeight="251740672" behindDoc="0" locked="0" layoutInCell="1" allowOverlap="1" wp14:anchorId="3C526827" wp14:editId="4072748A">
          <wp:simplePos x="0" y="0"/>
          <wp:positionH relativeFrom="column">
            <wp:posOffset>5029200</wp:posOffset>
          </wp:positionH>
          <wp:positionV relativeFrom="paragraph">
            <wp:posOffset>-243205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F1" w:rsidRDefault="00684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58"/>
    <w:multiLevelType w:val="hybridMultilevel"/>
    <w:tmpl w:val="263C20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BB1406"/>
    <w:multiLevelType w:val="hybridMultilevel"/>
    <w:tmpl w:val="D6644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C471A4"/>
    <w:multiLevelType w:val="hybridMultilevel"/>
    <w:tmpl w:val="BE88135A"/>
    <w:lvl w:ilvl="0" w:tplc="F13E6CE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B0EC4"/>
    <w:multiLevelType w:val="hybridMultilevel"/>
    <w:tmpl w:val="421C7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267269"/>
    <w:multiLevelType w:val="hybridMultilevel"/>
    <w:tmpl w:val="ECCAB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F6686"/>
    <w:multiLevelType w:val="hybridMultilevel"/>
    <w:tmpl w:val="F09E66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A59DE"/>
    <w:multiLevelType w:val="hybridMultilevel"/>
    <w:tmpl w:val="D4F4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080383C"/>
    <w:multiLevelType w:val="hybridMultilevel"/>
    <w:tmpl w:val="1D5CA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87F49"/>
    <w:multiLevelType w:val="hybridMultilevel"/>
    <w:tmpl w:val="4996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3F3E1B"/>
    <w:multiLevelType w:val="hybridMultilevel"/>
    <w:tmpl w:val="B0E6D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146D0"/>
    <w:multiLevelType w:val="hybridMultilevel"/>
    <w:tmpl w:val="BB5C2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B54B8"/>
    <w:multiLevelType w:val="hybridMultilevel"/>
    <w:tmpl w:val="A5C0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96F74"/>
    <w:multiLevelType w:val="hybridMultilevel"/>
    <w:tmpl w:val="2FB6C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545D2"/>
    <w:multiLevelType w:val="hybridMultilevel"/>
    <w:tmpl w:val="B672A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35AA2"/>
    <w:multiLevelType w:val="hybridMultilevel"/>
    <w:tmpl w:val="844483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0E13E9"/>
    <w:multiLevelType w:val="hybridMultilevel"/>
    <w:tmpl w:val="F9B2B2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1154C9"/>
    <w:multiLevelType w:val="hybridMultilevel"/>
    <w:tmpl w:val="CE1E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493E70"/>
    <w:multiLevelType w:val="hybridMultilevel"/>
    <w:tmpl w:val="1BDAF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D229CD"/>
    <w:multiLevelType w:val="hybridMultilevel"/>
    <w:tmpl w:val="A978F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1820D7"/>
    <w:multiLevelType w:val="hybridMultilevel"/>
    <w:tmpl w:val="3D88D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946F31"/>
    <w:multiLevelType w:val="hybridMultilevel"/>
    <w:tmpl w:val="F6221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1666DD"/>
    <w:multiLevelType w:val="hybridMultilevel"/>
    <w:tmpl w:val="E2BE33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66659FB"/>
    <w:multiLevelType w:val="hybridMultilevel"/>
    <w:tmpl w:val="92D6A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680DB5"/>
    <w:multiLevelType w:val="hybridMultilevel"/>
    <w:tmpl w:val="0BCC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C43418"/>
    <w:multiLevelType w:val="hybridMultilevel"/>
    <w:tmpl w:val="F78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356E5"/>
    <w:multiLevelType w:val="hybridMultilevel"/>
    <w:tmpl w:val="D10A270C"/>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2A344260"/>
    <w:multiLevelType w:val="hybridMultilevel"/>
    <w:tmpl w:val="AD287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D0B6B"/>
    <w:multiLevelType w:val="hybridMultilevel"/>
    <w:tmpl w:val="8B8C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CB7F53"/>
    <w:multiLevelType w:val="hybridMultilevel"/>
    <w:tmpl w:val="D60E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633AF7"/>
    <w:multiLevelType w:val="hybridMultilevel"/>
    <w:tmpl w:val="B584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E47E6D"/>
    <w:multiLevelType w:val="hybridMultilevel"/>
    <w:tmpl w:val="028CF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5192F04"/>
    <w:multiLevelType w:val="hybridMultilevel"/>
    <w:tmpl w:val="4F98FD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37381AF9"/>
    <w:multiLevelType w:val="hybridMultilevel"/>
    <w:tmpl w:val="EA1E0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DD55C0"/>
    <w:multiLevelType w:val="hybridMultilevel"/>
    <w:tmpl w:val="74E28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A12874"/>
    <w:multiLevelType w:val="hybridMultilevel"/>
    <w:tmpl w:val="53E87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7079A7"/>
    <w:multiLevelType w:val="hybridMultilevel"/>
    <w:tmpl w:val="B242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A12F9D"/>
    <w:multiLevelType w:val="hybridMultilevel"/>
    <w:tmpl w:val="B8426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D1F0BCF"/>
    <w:multiLevelType w:val="hybridMultilevel"/>
    <w:tmpl w:val="5C3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E45309C"/>
    <w:multiLevelType w:val="hybridMultilevel"/>
    <w:tmpl w:val="1E088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BE2FDF"/>
    <w:multiLevelType w:val="hybridMultilevel"/>
    <w:tmpl w:val="96A6F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0C6F43"/>
    <w:multiLevelType w:val="hybridMultilevel"/>
    <w:tmpl w:val="4FF8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F3A4452"/>
    <w:multiLevelType w:val="hybridMultilevel"/>
    <w:tmpl w:val="A266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3735AEE"/>
    <w:multiLevelType w:val="hybridMultilevel"/>
    <w:tmpl w:val="45BCC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8510C9"/>
    <w:multiLevelType w:val="hybridMultilevel"/>
    <w:tmpl w:val="2524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6F14BD2"/>
    <w:multiLevelType w:val="hybridMultilevel"/>
    <w:tmpl w:val="E7AC4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361DFD"/>
    <w:multiLevelType w:val="hybridMultilevel"/>
    <w:tmpl w:val="6898F5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7472F6A"/>
    <w:multiLevelType w:val="multilevel"/>
    <w:tmpl w:val="786AE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0E3551"/>
    <w:multiLevelType w:val="hybridMultilevel"/>
    <w:tmpl w:val="44C2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F844B5D"/>
    <w:multiLevelType w:val="hybridMultilevel"/>
    <w:tmpl w:val="DFC4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416B2B"/>
    <w:multiLevelType w:val="hybridMultilevel"/>
    <w:tmpl w:val="8B56E1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51DE7E43"/>
    <w:multiLevelType w:val="hybridMultilevel"/>
    <w:tmpl w:val="4B182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C35B3D"/>
    <w:multiLevelType w:val="hybridMultilevel"/>
    <w:tmpl w:val="19F42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3B33A14"/>
    <w:multiLevelType w:val="hybridMultilevel"/>
    <w:tmpl w:val="1A9C2122"/>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8619B4"/>
    <w:multiLevelType w:val="hybridMultilevel"/>
    <w:tmpl w:val="6F78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4" w15:restartNumberingAfterBreak="0">
    <w:nsid w:val="586C6421"/>
    <w:multiLevelType w:val="hybridMultilevel"/>
    <w:tmpl w:val="0300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5B2EC6"/>
    <w:multiLevelType w:val="hybridMultilevel"/>
    <w:tmpl w:val="34EEE4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9F308B6"/>
    <w:multiLevelType w:val="hybridMultilevel"/>
    <w:tmpl w:val="613EF6AE"/>
    <w:lvl w:ilvl="0" w:tplc="1F16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5255CA"/>
    <w:multiLevelType w:val="hybridMultilevel"/>
    <w:tmpl w:val="E7D42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D607A2D"/>
    <w:multiLevelType w:val="hybridMultilevel"/>
    <w:tmpl w:val="D46A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D5559F"/>
    <w:multiLevelType w:val="hybridMultilevel"/>
    <w:tmpl w:val="FB8E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08109E6"/>
    <w:multiLevelType w:val="hybridMultilevel"/>
    <w:tmpl w:val="F0A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EC1AE2"/>
    <w:multiLevelType w:val="hybridMultilevel"/>
    <w:tmpl w:val="17741630"/>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2" w15:restartNumberingAfterBreak="0">
    <w:nsid w:val="6A093A13"/>
    <w:multiLevelType w:val="hybridMultilevel"/>
    <w:tmpl w:val="31BC5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5D3F2C"/>
    <w:multiLevelType w:val="hybridMultilevel"/>
    <w:tmpl w:val="8D907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CD1ADC"/>
    <w:multiLevelType w:val="hybridMultilevel"/>
    <w:tmpl w:val="29CCD2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E5215E4"/>
    <w:multiLevelType w:val="hybridMultilevel"/>
    <w:tmpl w:val="ECF2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02B794B"/>
    <w:multiLevelType w:val="hybridMultilevel"/>
    <w:tmpl w:val="EDF6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14F288D"/>
    <w:multiLevelType w:val="hybridMultilevel"/>
    <w:tmpl w:val="CB6C8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EB12CB"/>
    <w:multiLevelType w:val="hybridMultilevel"/>
    <w:tmpl w:val="6F08F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224219D"/>
    <w:multiLevelType w:val="hybridMultilevel"/>
    <w:tmpl w:val="06E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082CFE"/>
    <w:multiLevelType w:val="hybridMultilevel"/>
    <w:tmpl w:val="88D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13553B"/>
    <w:multiLevelType w:val="hybridMultilevel"/>
    <w:tmpl w:val="1EEC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8"/>
  </w:num>
  <w:num w:numId="3">
    <w:abstractNumId w:val="56"/>
  </w:num>
  <w:num w:numId="4">
    <w:abstractNumId w:val="6"/>
  </w:num>
  <w:num w:numId="5">
    <w:abstractNumId w:val="70"/>
  </w:num>
  <w:num w:numId="6">
    <w:abstractNumId w:val="32"/>
  </w:num>
  <w:num w:numId="7">
    <w:abstractNumId w:val="7"/>
  </w:num>
  <w:num w:numId="8">
    <w:abstractNumId w:val="65"/>
  </w:num>
  <w:num w:numId="9">
    <w:abstractNumId w:val="35"/>
  </w:num>
  <w:num w:numId="10">
    <w:abstractNumId w:val="37"/>
  </w:num>
  <w:num w:numId="11">
    <w:abstractNumId w:val="69"/>
  </w:num>
  <w:num w:numId="12">
    <w:abstractNumId w:val="31"/>
  </w:num>
  <w:num w:numId="13">
    <w:abstractNumId w:val="53"/>
  </w:num>
  <w:num w:numId="14">
    <w:abstractNumId w:val="54"/>
  </w:num>
  <w:num w:numId="15">
    <w:abstractNumId w:val="22"/>
  </w:num>
  <w:num w:numId="16">
    <w:abstractNumId w:val="20"/>
  </w:num>
  <w:num w:numId="17">
    <w:abstractNumId w:val="34"/>
  </w:num>
  <w:num w:numId="18">
    <w:abstractNumId w:val="39"/>
  </w:num>
  <w:num w:numId="19">
    <w:abstractNumId w:val="46"/>
  </w:num>
  <w:num w:numId="20">
    <w:abstractNumId w:val="28"/>
  </w:num>
  <w:num w:numId="21">
    <w:abstractNumId w:val="62"/>
  </w:num>
  <w:num w:numId="22">
    <w:abstractNumId w:val="71"/>
  </w:num>
  <w:num w:numId="23">
    <w:abstractNumId w:val="49"/>
  </w:num>
  <w:num w:numId="24">
    <w:abstractNumId w:val="21"/>
  </w:num>
  <w:num w:numId="25">
    <w:abstractNumId w:val="61"/>
  </w:num>
  <w:num w:numId="26">
    <w:abstractNumId w:val="5"/>
  </w:num>
  <w:num w:numId="27">
    <w:abstractNumId w:val="36"/>
  </w:num>
  <w:num w:numId="28">
    <w:abstractNumId w:val="64"/>
  </w:num>
  <w:num w:numId="29">
    <w:abstractNumId w:val="12"/>
  </w:num>
  <w:num w:numId="30">
    <w:abstractNumId w:val="29"/>
  </w:num>
  <w:num w:numId="31">
    <w:abstractNumId w:val="41"/>
  </w:num>
  <w:num w:numId="32">
    <w:abstractNumId w:val="8"/>
  </w:num>
  <w:num w:numId="33">
    <w:abstractNumId w:val="19"/>
  </w:num>
  <w:num w:numId="34">
    <w:abstractNumId w:val="43"/>
  </w:num>
  <w:num w:numId="35">
    <w:abstractNumId w:val="33"/>
  </w:num>
  <w:num w:numId="36">
    <w:abstractNumId w:val="23"/>
  </w:num>
  <w:num w:numId="37">
    <w:abstractNumId w:val="11"/>
  </w:num>
  <w:num w:numId="38">
    <w:abstractNumId w:val="59"/>
  </w:num>
  <w:num w:numId="39">
    <w:abstractNumId w:val="58"/>
  </w:num>
  <w:num w:numId="40">
    <w:abstractNumId w:val="40"/>
  </w:num>
  <w:num w:numId="41">
    <w:abstractNumId w:val="67"/>
  </w:num>
  <w:num w:numId="42">
    <w:abstractNumId w:val="68"/>
  </w:num>
  <w:num w:numId="43">
    <w:abstractNumId w:val="52"/>
  </w:num>
  <w:num w:numId="44">
    <w:abstractNumId w:val="13"/>
  </w:num>
  <w:num w:numId="45">
    <w:abstractNumId w:val="25"/>
  </w:num>
  <w:num w:numId="46">
    <w:abstractNumId w:val="42"/>
  </w:num>
  <w:num w:numId="47">
    <w:abstractNumId w:val="38"/>
  </w:num>
  <w:num w:numId="48">
    <w:abstractNumId w:val="57"/>
  </w:num>
  <w:num w:numId="49">
    <w:abstractNumId w:val="1"/>
  </w:num>
  <w:num w:numId="50">
    <w:abstractNumId w:val="51"/>
  </w:num>
  <w:num w:numId="51">
    <w:abstractNumId w:val="30"/>
  </w:num>
  <w:num w:numId="52">
    <w:abstractNumId w:val="47"/>
  </w:num>
  <w:num w:numId="53">
    <w:abstractNumId w:val="66"/>
  </w:num>
  <w:num w:numId="54">
    <w:abstractNumId w:val="16"/>
  </w:num>
  <w:num w:numId="55">
    <w:abstractNumId w:val="4"/>
  </w:num>
  <w:num w:numId="56">
    <w:abstractNumId w:val="50"/>
  </w:num>
  <w:num w:numId="57">
    <w:abstractNumId w:val="24"/>
  </w:num>
  <w:num w:numId="58">
    <w:abstractNumId w:val="27"/>
  </w:num>
  <w:num w:numId="59">
    <w:abstractNumId w:val="10"/>
  </w:num>
  <w:num w:numId="60">
    <w:abstractNumId w:val="26"/>
  </w:num>
  <w:num w:numId="61">
    <w:abstractNumId w:val="60"/>
  </w:num>
  <w:num w:numId="62">
    <w:abstractNumId w:val="18"/>
  </w:num>
  <w:num w:numId="63">
    <w:abstractNumId w:val="44"/>
  </w:num>
  <w:num w:numId="64">
    <w:abstractNumId w:val="3"/>
  </w:num>
  <w:num w:numId="65">
    <w:abstractNumId w:val="45"/>
  </w:num>
  <w:num w:numId="66">
    <w:abstractNumId w:val="14"/>
  </w:num>
  <w:num w:numId="67">
    <w:abstractNumId w:val="55"/>
  </w:num>
  <w:num w:numId="68">
    <w:abstractNumId w:val="63"/>
  </w:num>
  <w:num w:numId="69">
    <w:abstractNumId w:val="17"/>
  </w:num>
  <w:num w:numId="70">
    <w:abstractNumId w:val="9"/>
  </w:num>
  <w:num w:numId="71">
    <w:abstractNumId w:val="0"/>
  </w:num>
  <w:num w:numId="7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7D"/>
    <w:rsid w:val="0005278D"/>
    <w:rsid w:val="001237BF"/>
    <w:rsid w:val="00157B12"/>
    <w:rsid w:val="00170C8E"/>
    <w:rsid w:val="00173DC5"/>
    <w:rsid w:val="0020697D"/>
    <w:rsid w:val="0026772B"/>
    <w:rsid w:val="00297397"/>
    <w:rsid w:val="002E4501"/>
    <w:rsid w:val="003A0175"/>
    <w:rsid w:val="003A298E"/>
    <w:rsid w:val="003B17EF"/>
    <w:rsid w:val="003D15E9"/>
    <w:rsid w:val="003F0AC2"/>
    <w:rsid w:val="003F47D4"/>
    <w:rsid w:val="0042175F"/>
    <w:rsid w:val="0045485C"/>
    <w:rsid w:val="004A72E8"/>
    <w:rsid w:val="004E7331"/>
    <w:rsid w:val="005108BA"/>
    <w:rsid w:val="00541F05"/>
    <w:rsid w:val="006849F1"/>
    <w:rsid w:val="006964F4"/>
    <w:rsid w:val="006B5E67"/>
    <w:rsid w:val="007B7B26"/>
    <w:rsid w:val="007E7F2A"/>
    <w:rsid w:val="00976415"/>
    <w:rsid w:val="00A348A1"/>
    <w:rsid w:val="00AC2D5A"/>
    <w:rsid w:val="00AC7527"/>
    <w:rsid w:val="00B016F0"/>
    <w:rsid w:val="00CB15BE"/>
    <w:rsid w:val="00CC73C1"/>
    <w:rsid w:val="00CE674F"/>
    <w:rsid w:val="00D41C81"/>
    <w:rsid w:val="00D63D4F"/>
    <w:rsid w:val="00D87FB9"/>
    <w:rsid w:val="00DA1BEB"/>
    <w:rsid w:val="00DC49FE"/>
    <w:rsid w:val="00E56427"/>
    <w:rsid w:val="00EC51DF"/>
    <w:rsid w:val="00F36E47"/>
    <w:rsid w:val="00F678C5"/>
    <w:rsid w:val="00FC5BCC"/>
    <w:rsid w:val="00FF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80B79-DB68-4811-8277-E8AC028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7D"/>
  </w:style>
  <w:style w:type="paragraph" w:styleId="Heading1">
    <w:name w:val="heading 1"/>
    <w:basedOn w:val="Normal"/>
    <w:next w:val="Normal"/>
    <w:link w:val="Heading1Char"/>
    <w:uiPriority w:val="9"/>
    <w:qFormat/>
    <w:rsid w:val="00510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7D"/>
    <w:pPr>
      <w:ind w:left="720"/>
      <w:contextualSpacing/>
    </w:pPr>
  </w:style>
  <w:style w:type="paragraph" w:styleId="BodyText">
    <w:name w:val="Body Text"/>
    <w:basedOn w:val="Normal"/>
    <w:link w:val="BodyTextChar"/>
    <w:rsid w:val="00DA1BE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A1BE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A1BEB"/>
    <w:rPr>
      <w:color w:val="0000FF" w:themeColor="hyperlink"/>
      <w:u w:val="single"/>
    </w:rPr>
  </w:style>
  <w:style w:type="paragraph" w:styleId="Header">
    <w:name w:val="header"/>
    <w:basedOn w:val="Normal"/>
    <w:link w:val="HeaderChar"/>
    <w:uiPriority w:val="99"/>
    <w:unhideWhenUsed/>
    <w:rsid w:val="00DA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EB"/>
  </w:style>
  <w:style w:type="table" w:styleId="TableGrid">
    <w:name w:val="Table Grid"/>
    <w:basedOn w:val="TableNormal"/>
    <w:uiPriority w:val="59"/>
    <w:rsid w:val="00DA1BE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108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08BA"/>
    <w:pPr>
      <w:spacing w:after="0" w:line="240" w:lineRule="auto"/>
    </w:pPr>
  </w:style>
  <w:style w:type="paragraph" w:styleId="Footer">
    <w:name w:val="footer"/>
    <w:basedOn w:val="Normal"/>
    <w:link w:val="FooterChar"/>
    <w:uiPriority w:val="99"/>
    <w:unhideWhenUsed/>
    <w:rsid w:val="0051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BA"/>
  </w:style>
  <w:style w:type="paragraph" w:styleId="BalloonText">
    <w:name w:val="Balloon Text"/>
    <w:basedOn w:val="Normal"/>
    <w:link w:val="BalloonTextChar"/>
    <w:uiPriority w:val="99"/>
    <w:semiHidden/>
    <w:unhideWhenUsed/>
    <w:rsid w:val="003A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75"/>
    <w:rPr>
      <w:rFonts w:ascii="Tahoma" w:hAnsi="Tahoma" w:cs="Tahoma"/>
      <w:sz w:val="16"/>
      <w:szCs w:val="16"/>
    </w:rPr>
  </w:style>
  <w:style w:type="paragraph" w:styleId="TOCHeading">
    <w:name w:val="TOC Heading"/>
    <w:basedOn w:val="Heading1"/>
    <w:next w:val="Normal"/>
    <w:uiPriority w:val="39"/>
    <w:semiHidden/>
    <w:unhideWhenUsed/>
    <w:qFormat/>
    <w:rsid w:val="00B016F0"/>
    <w:pPr>
      <w:outlineLvl w:val="9"/>
    </w:pPr>
  </w:style>
  <w:style w:type="paragraph" w:styleId="TOC1">
    <w:name w:val="toc 1"/>
    <w:basedOn w:val="Normal"/>
    <w:next w:val="Normal"/>
    <w:autoRedefine/>
    <w:uiPriority w:val="39"/>
    <w:unhideWhenUsed/>
    <w:rsid w:val="00B016F0"/>
    <w:pPr>
      <w:spacing w:after="100"/>
    </w:pPr>
  </w:style>
  <w:style w:type="paragraph" w:styleId="TOC2">
    <w:name w:val="toc 2"/>
    <w:basedOn w:val="Normal"/>
    <w:next w:val="Normal"/>
    <w:autoRedefine/>
    <w:uiPriority w:val="39"/>
    <w:unhideWhenUsed/>
    <w:rsid w:val="00B016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mazon.com/gp/reader/1573874035/ref=sib_dp_pt#reader-link"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amazon.com/gp/reader/1598844539/ref=sib_dp_pt#reader-link" TargetMode="External"/><Relationship Id="rId20" Type="http://schemas.openxmlformats.org/officeDocument/2006/relationships/hyperlink" Target="http://www.amazon.com/gp/product/images/1843345927/ref=dp_image_0?ie=UTF8&amp;n=283155&amp;s=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azon.com/gp/reader/1573872695/ref=sib_dp_kd#reader-li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0CE9-99F6-4552-BEED-FE96805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BTOPuser</dc:creator>
  <cp:lastModifiedBy>Goyco, Jorge A</cp:lastModifiedBy>
  <cp:revision>4</cp:revision>
  <cp:lastPrinted>2012-05-02T15:21:00Z</cp:lastPrinted>
  <dcterms:created xsi:type="dcterms:W3CDTF">2016-11-04T02:49:00Z</dcterms:created>
  <dcterms:modified xsi:type="dcterms:W3CDTF">2018-04-05T20:35:00Z</dcterms:modified>
</cp:coreProperties>
</file>